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C51" w:rsidRDefault="00F27C51">
      <w:pPr>
        <w:jc w:val="center"/>
        <w:rPr>
          <w:b/>
          <w:color w:val="FF0000"/>
          <w:w w:val="60"/>
          <w:sz w:val="72"/>
          <w:szCs w:val="72"/>
        </w:rPr>
      </w:pPr>
    </w:p>
    <w:p w:rsidR="00F27C51" w:rsidRDefault="00F27C51">
      <w:pPr>
        <w:jc w:val="center"/>
        <w:rPr>
          <w:b/>
          <w:color w:val="FF0000"/>
          <w:w w:val="60"/>
          <w:sz w:val="72"/>
          <w:szCs w:val="72"/>
        </w:rPr>
      </w:pPr>
    </w:p>
    <w:p w:rsidR="00F27C51" w:rsidRDefault="00DD41A9">
      <w:pPr>
        <w:jc w:val="center"/>
        <w:rPr>
          <w:rFonts w:ascii="方正小标宋简体" w:eastAsia="方正小标宋简体"/>
          <w:b/>
          <w:color w:val="FF0000"/>
          <w:w w:val="6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w w:val="60"/>
          <w:sz w:val="72"/>
          <w:szCs w:val="72"/>
        </w:rPr>
        <w:t>江苏省教育系统关心下一代工作委员会文件</w:t>
      </w:r>
    </w:p>
    <w:p w:rsidR="00F27C51" w:rsidRDefault="00F27C51">
      <w:pPr>
        <w:jc w:val="center"/>
        <w:rPr>
          <w:b/>
          <w:color w:val="FF0000"/>
          <w:w w:val="60"/>
          <w:sz w:val="72"/>
          <w:szCs w:val="72"/>
        </w:rPr>
      </w:pPr>
    </w:p>
    <w:p w:rsidR="00F27C51" w:rsidRDefault="00DD41A9">
      <w:pPr>
        <w:snapToGrid w:val="0"/>
        <w:spacing w:line="560" w:lineRule="exact"/>
        <w:ind w:leftChars="-171" w:left="25" w:rightChars="-140" w:right="-294" w:hangingChars="120" w:hanging="384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苏教关委〔202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 w:rsidR="00304028"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</w:p>
    <w:p w:rsidR="00F27C51" w:rsidRDefault="005F2128">
      <w:pPr>
        <w:snapToGrid w:val="0"/>
        <w:spacing w:line="560" w:lineRule="exact"/>
        <w:ind w:leftChars="-171" w:left="-107" w:rightChars="-140" w:right="-294" w:hangingChars="120" w:hanging="252"/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F1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140970</wp:posOffset>
                </wp:positionV>
                <wp:extent cx="5722620" cy="7620"/>
                <wp:effectExtent l="28575" t="32385" r="30480" b="36195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7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A5D3" id="1026" o:spid="_x0000_s1026" type="#_x0000_t32" style="position:absolute;left:0;text-align:left;margin-left:-1.4pt;margin-top:11.1pt;width:450.6pt;height: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" strokecolor="red" strokeweight="4.5pt"/>
            </w:pict>
          </mc:Fallback>
        </mc:AlternateContent>
      </w:r>
    </w:p>
    <w:p w:rsidR="00F27C51" w:rsidRDefault="00F27C51">
      <w:pPr>
        <w:snapToGrid w:val="0"/>
        <w:spacing w:line="560" w:lineRule="exact"/>
        <w:jc w:val="center"/>
        <w:rPr>
          <w:rFonts w:ascii="宋体" w:hAnsi="宋体" w:cs="宋体"/>
          <w:sz w:val="36"/>
          <w:szCs w:val="36"/>
        </w:rPr>
      </w:pPr>
    </w:p>
    <w:p w:rsidR="00F27C51" w:rsidRPr="00656BDD" w:rsidRDefault="00DD41A9">
      <w:pPr>
        <w:snapToGrid w:val="0"/>
        <w:spacing w:line="640" w:lineRule="exact"/>
        <w:jc w:val="center"/>
        <w:rPr>
          <w:rFonts w:ascii="华文中宋" w:eastAsia="华文中宋" w:hAnsi="华文中宋" w:cs="宋体"/>
          <w:b/>
          <w:sz w:val="44"/>
          <w:szCs w:val="44"/>
        </w:rPr>
      </w:pPr>
      <w:r w:rsidRPr="00656BDD">
        <w:rPr>
          <w:rFonts w:ascii="华文中宋" w:eastAsia="华文中宋" w:hAnsi="华文中宋" w:cs="宋体" w:hint="eastAsia"/>
          <w:b/>
          <w:sz w:val="44"/>
          <w:szCs w:val="44"/>
        </w:rPr>
        <w:t>关于组织开展关工委优质化建设均衡发展</w:t>
      </w:r>
    </w:p>
    <w:p w:rsidR="00F27C51" w:rsidRPr="00656BDD" w:rsidRDefault="00DD41A9">
      <w:pPr>
        <w:snapToGrid w:val="0"/>
        <w:spacing w:line="640" w:lineRule="exact"/>
        <w:jc w:val="center"/>
        <w:rPr>
          <w:rFonts w:ascii="华文中宋" w:eastAsia="华文中宋" w:hAnsi="华文中宋" w:cs="宋体"/>
          <w:b/>
          <w:sz w:val="44"/>
          <w:szCs w:val="44"/>
        </w:rPr>
      </w:pPr>
      <w:r w:rsidRPr="00656BDD">
        <w:rPr>
          <w:rFonts w:ascii="华文中宋" w:eastAsia="华文中宋" w:hAnsi="华文中宋" w:cs="宋体" w:hint="eastAsia"/>
          <w:b/>
          <w:sz w:val="44"/>
          <w:szCs w:val="44"/>
        </w:rPr>
        <w:t>优秀工作论文和调研报告（2</w:t>
      </w:r>
      <w:r w:rsidRPr="00656BDD">
        <w:rPr>
          <w:rFonts w:ascii="华文中宋" w:eastAsia="华文中宋" w:hAnsi="华文中宋" w:cs="宋体"/>
          <w:b/>
          <w:sz w:val="44"/>
          <w:szCs w:val="44"/>
        </w:rPr>
        <w:t>023</w:t>
      </w:r>
      <w:r w:rsidRPr="00656BDD">
        <w:rPr>
          <w:rFonts w:ascii="华文中宋" w:eastAsia="华文中宋" w:hAnsi="华文中宋" w:cs="宋体" w:hint="eastAsia"/>
          <w:b/>
          <w:sz w:val="44"/>
          <w:szCs w:val="44"/>
        </w:rPr>
        <w:t>）</w:t>
      </w:r>
    </w:p>
    <w:p w:rsidR="00F27C51" w:rsidRPr="00656BDD" w:rsidRDefault="00DD41A9">
      <w:pPr>
        <w:snapToGrid w:val="0"/>
        <w:spacing w:line="64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656BDD">
        <w:rPr>
          <w:rFonts w:ascii="华文中宋" w:eastAsia="华文中宋" w:hAnsi="华文中宋" w:cs="宋体" w:hint="eastAsia"/>
          <w:b/>
          <w:sz w:val="44"/>
          <w:szCs w:val="44"/>
        </w:rPr>
        <w:t>评选活动的通知</w:t>
      </w:r>
    </w:p>
    <w:p w:rsidR="00F27C51" w:rsidRPr="00656BDD" w:rsidRDefault="00F27C51">
      <w:pPr>
        <w:rPr>
          <w:rFonts w:ascii="华文中宋" w:eastAsia="华文中宋" w:hAnsi="华文中宋"/>
          <w:b/>
        </w:rPr>
      </w:pPr>
    </w:p>
    <w:p w:rsidR="00F27C51" w:rsidRDefault="00F27C51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27C51" w:rsidRPr="005F2128" w:rsidRDefault="00DD41A9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各设区市教育局（系统）关工委，各高等学校关工委：</w:t>
      </w:r>
    </w:p>
    <w:p w:rsidR="00F27C51" w:rsidRPr="005F2128" w:rsidRDefault="00DD41A9" w:rsidP="005F2128">
      <w:pPr>
        <w:autoSpaceDE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为了深入推进关工委优质化建设均衡发展，根据省教育厅办公室印发的</w:t>
      </w:r>
      <w:r w:rsidRPr="005F2128">
        <w:rPr>
          <w:rFonts w:ascii="仿宋_GB2312" w:eastAsia="仿宋_GB2312" w:hAnsi="仿宋" w:cs="仿宋" w:hint="eastAsia"/>
          <w:color w:val="000000"/>
          <w:sz w:val="32"/>
          <w:szCs w:val="32"/>
        </w:rPr>
        <w:t>《江苏省教育系统关心下一代工作2023年工作要点》，今年</w:t>
      </w:r>
      <w:r w:rsidRPr="005F2128">
        <w:rPr>
          <w:rFonts w:ascii="仿宋_GB2312" w:eastAsia="仿宋_GB2312" w:hAnsi="仿宋" w:hint="eastAsia"/>
          <w:sz w:val="32"/>
          <w:szCs w:val="32"/>
        </w:rPr>
        <w:t>将组织开展关工委优质化建设均衡发展优秀工作论文和调研报告（2023）评选活动。现就有关事项通知如下：</w:t>
      </w:r>
    </w:p>
    <w:p w:rsidR="00656BDD" w:rsidRPr="00FB15B5" w:rsidRDefault="00656BDD" w:rsidP="00FB15B5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FB15B5">
        <w:rPr>
          <w:rFonts w:ascii="黑体" w:eastAsia="黑体" w:hAnsi="黑体" w:cs="黑体" w:hint="eastAsia"/>
          <w:b/>
          <w:sz w:val="32"/>
          <w:szCs w:val="32"/>
        </w:rPr>
        <w:t>一、评选主题</w:t>
      </w:r>
    </w:p>
    <w:p w:rsidR="00656BDD" w:rsidRPr="005F2128" w:rsidRDefault="00656BDD" w:rsidP="00656BD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2023年参评的工作论文和调研报告，主题为体现“急党政所</w:t>
      </w:r>
      <w:r w:rsidRPr="005F2128">
        <w:rPr>
          <w:rFonts w:ascii="仿宋_GB2312" w:eastAsia="仿宋_GB2312" w:hAnsi="仿宋" w:hint="eastAsia"/>
          <w:sz w:val="32"/>
          <w:szCs w:val="32"/>
        </w:rPr>
        <w:lastRenderedPageBreak/>
        <w:t>急、想青少年所需、尽关工委所能”工作方针，坚持精准服务青少年的方向，紧扣青少年所需所想，努力提高关爱工作实效，把关工委优质化建设均衡发展成果落到实处。</w:t>
      </w:r>
      <w:r w:rsidRPr="005F2128">
        <w:rPr>
          <w:rFonts w:ascii="仿宋_GB2312" w:eastAsia="仿宋_GB2312" w:hAnsi="仿宋" w:hint="eastAsia"/>
          <w:bCs/>
          <w:sz w:val="32"/>
          <w:szCs w:val="32"/>
        </w:rPr>
        <w:t>其他主题材料不参加本年度评选。</w:t>
      </w:r>
    </w:p>
    <w:p w:rsidR="00F27C51" w:rsidRPr="00FB15B5" w:rsidRDefault="00DD41A9" w:rsidP="00656BDD">
      <w:pPr>
        <w:pStyle w:val="aa"/>
        <w:numPr>
          <w:ilvl w:val="0"/>
          <w:numId w:val="3"/>
        </w:numPr>
        <w:autoSpaceDE w:val="0"/>
        <w:spacing w:line="560" w:lineRule="exact"/>
        <w:ind w:firstLineChars="0"/>
        <w:rPr>
          <w:rFonts w:ascii="黑体" w:eastAsia="黑体" w:hAnsi="黑体" w:cs="黑体"/>
          <w:b/>
          <w:sz w:val="32"/>
          <w:szCs w:val="32"/>
        </w:rPr>
      </w:pPr>
      <w:r w:rsidRPr="00FB15B5">
        <w:rPr>
          <w:rFonts w:ascii="黑体" w:eastAsia="黑体" w:hAnsi="黑体" w:cs="黑体"/>
          <w:b/>
          <w:sz w:val="32"/>
          <w:szCs w:val="32"/>
        </w:rPr>
        <w:t>评选</w:t>
      </w:r>
      <w:r w:rsidRPr="00FB15B5">
        <w:rPr>
          <w:rFonts w:ascii="黑体" w:eastAsia="黑体" w:hAnsi="黑体" w:cs="黑体" w:hint="eastAsia"/>
          <w:b/>
          <w:sz w:val="32"/>
          <w:szCs w:val="32"/>
        </w:rPr>
        <w:t>范围</w:t>
      </w:r>
    </w:p>
    <w:p w:rsidR="00F27C51" w:rsidRPr="005F2128" w:rsidRDefault="00DD41A9">
      <w:pPr>
        <w:autoSpaceDE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由设区市、县（市、区）教育关工委和高等学校关工委组织、在深入调研基础上撰写的</w:t>
      </w:r>
      <w:r w:rsidR="00656BDD" w:rsidRPr="005F2128">
        <w:rPr>
          <w:rFonts w:ascii="仿宋_GB2312" w:eastAsia="仿宋_GB2312" w:hAnsi="仿宋" w:hint="eastAsia"/>
          <w:sz w:val="32"/>
          <w:szCs w:val="32"/>
        </w:rPr>
        <w:t>优质化建设均衡发展的工作论文和调研报告。其作者必须是设区市或县（市、区）教育关工委、高等学校或其二级学院关工委的工作团队及其</w:t>
      </w:r>
      <w:r w:rsidRPr="005F2128">
        <w:rPr>
          <w:rFonts w:ascii="仿宋_GB2312" w:eastAsia="仿宋_GB2312" w:hAnsi="仿宋" w:hint="eastAsia"/>
          <w:sz w:val="32"/>
          <w:szCs w:val="32"/>
        </w:rPr>
        <w:t>成员。</w:t>
      </w:r>
    </w:p>
    <w:p w:rsidR="00F27C51" w:rsidRPr="00FB15B5" w:rsidRDefault="00656BDD" w:rsidP="00FB15B5">
      <w:pPr>
        <w:autoSpaceDE w:val="0"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FB15B5">
        <w:rPr>
          <w:rFonts w:ascii="黑体" w:eastAsia="黑体" w:hAnsi="黑体" w:cs="黑体" w:hint="eastAsia"/>
          <w:b/>
          <w:sz w:val="32"/>
          <w:szCs w:val="32"/>
        </w:rPr>
        <w:t>三</w:t>
      </w:r>
      <w:r w:rsidR="00DD41A9" w:rsidRPr="00FB15B5">
        <w:rPr>
          <w:rFonts w:ascii="黑体" w:eastAsia="黑体" w:hAnsi="黑体" w:cs="黑体" w:hint="eastAsia"/>
          <w:b/>
          <w:sz w:val="32"/>
          <w:szCs w:val="32"/>
        </w:rPr>
        <w:t>、材料要求</w:t>
      </w:r>
    </w:p>
    <w:p w:rsidR="00F27C51" w:rsidRPr="005F2128" w:rsidRDefault="00DD41A9">
      <w:pPr>
        <w:autoSpaceDE w:val="0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推荐的工作论文和调研报告</w:t>
      </w:r>
      <w:r w:rsidR="00656BDD" w:rsidRPr="005F2128">
        <w:rPr>
          <w:rFonts w:ascii="仿宋_GB2312" w:eastAsia="仿宋_GB2312" w:hAnsi="仿宋" w:hint="eastAsia"/>
          <w:sz w:val="32"/>
          <w:szCs w:val="32"/>
        </w:rPr>
        <w:t>在</w:t>
      </w:r>
      <w:r w:rsidRPr="005F2128">
        <w:rPr>
          <w:rFonts w:ascii="仿宋_GB2312" w:eastAsia="仿宋_GB2312" w:hAnsi="仿宋" w:hint="eastAsia"/>
          <w:sz w:val="32"/>
          <w:szCs w:val="32"/>
        </w:rPr>
        <w:t>5000字</w:t>
      </w:r>
      <w:r w:rsidR="00656BDD" w:rsidRPr="005F2128">
        <w:rPr>
          <w:rFonts w:ascii="仿宋_GB2312" w:eastAsia="仿宋_GB2312" w:hAnsi="仿宋" w:hint="eastAsia"/>
          <w:sz w:val="32"/>
          <w:szCs w:val="32"/>
        </w:rPr>
        <w:t>以内。需提交以下</w:t>
      </w:r>
      <w:r w:rsidRPr="005F2128">
        <w:rPr>
          <w:rFonts w:ascii="仿宋_GB2312" w:eastAsia="仿宋_GB2312" w:hAnsi="仿宋" w:hint="eastAsia"/>
          <w:sz w:val="32"/>
          <w:szCs w:val="32"/>
        </w:rPr>
        <w:t>材料：</w:t>
      </w:r>
    </w:p>
    <w:p w:rsidR="00F27C51" w:rsidRPr="005F2128" w:rsidRDefault="00DD41A9">
      <w:pPr>
        <w:autoSpaceDE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1.纸质材料一份。打印格式要求：论文题目居中，用2号宋体；正文行距26磅，用小3号仿宋体，文中标题用楷体或黑体。论文首页左上角分两行标注“优质化建设均衡发展优秀论文和调研报告（2023）”字样，用5号宋体。论文末页落款部位注明：作者单位名称、作者姓名及联系电话、电子邮箱或微信号（选填）。</w:t>
      </w:r>
    </w:p>
    <w:p w:rsidR="00F27C51" w:rsidRPr="005F2128" w:rsidRDefault="00DD41A9">
      <w:pPr>
        <w:autoSpaceDE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2.上述材料的电子文档。电子文档必须为word格式，命名为：***教育关工委（高校关工委）报送参评论文和调研报告——********（参评材料题目）。</w:t>
      </w:r>
    </w:p>
    <w:p w:rsidR="00F27C51" w:rsidRPr="00FB15B5" w:rsidRDefault="00656BDD">
      <w:pPr>
        <w:autoSpaceDE w:val="0"/>
        <w:spacing w:line="560" w:lineRule="exact"/>
        <w:ind w:firstLine="640"/>
        <w:rPr>
          <w:rFonts w:ascii="黑体" w:eastAsia="黑体" w:hAnsi="黑体" w:cs="黑体"/>
          <w:b/>
          <w:sz w:val="32"/>
          <w:szCs w:val="32"/>
        </w:rPr>
      </w:pPr>
      <w:r w:rsidRPr="00FB15B5">
        <w:rPr>
          <w:rFonts w:ascii="黑体" w:eastAsia="黑体" w:hAnsi="黑体" w:cs="黑体" w:hint="eastAsia"/>
          <w:b/>
          <w:sz w:val="32"/>
          <w:szCs w:val="32"/>
        </w:rPr>
        <w:t>四</w:t>
      </w:r>
      <w:r w:rsidR="00DD41A9" w:rsidRPr="00FB15B5">
        <w:rPr>
          <w:rFonts w:ascii="黑体" w:eastAsia="黑体" w:hAnsi="黑体" w:cs="黑体" w:hint="eastAsia"/>
          <w:b/>
          <w:sz w:val="32"/>
          <w:szCs w:val="32"/>
        </w:rPr>
        <w:t>、其他事宜</w:t>
      </w:r>
    </w:p>
    <w:p w:rsidR="00F27C51" w:rsidRPr="005F2128" w:rsidRDefault="00DD41A9">
      <w:pPr>
        <w:autoSpaceDE w:val="0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1.请各设区市和高校关工委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认真组织，</w:t>
      </w:r>
      <w:r w:rsidR="00656BDD" w:rsidRPr="005F2128">
        <w:rPr>
          <w:rFonts w:ascii="仿宋_GB2312" w:eastAsia="仿宋_GB2312" w:hAnsi="仿宋" w:hint="eastAsia"/>
          <w:sz w:val="32"/>
          <w:szCs w:val="32"/>
        </w:rPr>
        <w:t>结合实际，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学习研究，</w:t>
      </w:r>
      <w:r w:rsidR="00656BDD" w:rsidRPr="005F2128">
        <w:rPr>
          <w:rFonts w:ascii="仿宋_GB2312" w:eastAsia="仿宋_GB2312" w:hAnsi="仿宋" w:hint="eastAsia"/>
          <w:sz w:val="32"/>
          <w:szCs w:val="32"/>
        </w:rPr>
        <w:lastRenderedPageBreak/>
        <w:t>深入调研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，</w:t>
      </w:r>
      <w:r w:rsidRPr="005F2128">
        <w:rPr>
          <w:rFonts w:ascii="仿宋_GB2312" w:eastAsia="仿宋_GB2312" w:hAnsi="仿宋" w:hint="eastAsia"/>
          <w:sz w:val="32"/>
          <w:szCs w:val="32"/>
        </w:rPr>
        <w:t>对各县区和二级学院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关工委</w:t>
      </w:r>
      <w:r w:rsidRPr="005F2128">
        <w:rPr>
          <w:rFonts w:ascii="仿宋_GB2312" w:eastAsia="仿宋_GB2312" w:hAnsi="仿宋" w:hint="eastAsia"/>
          <w:sz w:val="32"/>
          <w:szCs w:val="32"/>
        </w:rPr>
        <w:t>报送的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工作论文和</w:t>
      </w:r>
      <w:r w:rsidRPr="005F2128">
        <w:rPr>
          <w:rFonts w:ascii="仿宋_GB2312" w:eastAsia="仿宋_GB2312" w:hAnsi="仿宋" w:hint="eastAsia"/>
          <w:sz w:val="32"/>
          <w:szCs w:val="32"/>
        </w:rPr>
        <w:t>调研报告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择优遴选，</w:t>
      </w:r>
      <w:r w:rsidRPr="005F2128">
        <w:rPr>
          <w:rFonts w:ascii="仿宋_GB2312" w:eastAsia="仿宋_GB2312" w:hAnsi="仿宋" w:hint="eastAsia"/>
          <w:sz w:val="32"/>
          <w:szCs w:val="32"/>
        </w:rPr>
        <w:t>推荐参评。</w:t>
      </w:r>
    </w:p>
    <w:p w:rsidR="00F27C51" w:rsidRPr="005F2128" w:rsidRDefault="00DD41A9">
      <w:pPr>
        <w:autoSpaceDE w:val="0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2.各设区市报送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我委</w:t>
      </w:r>
      <w:r w:rsidRPr="005F2128">
        <w:rPr>
          <w:rFonts w:ascii="仿宋_GB2312" w:eastAsia="仿宋_GB2312" w:hAnsi="仿宋" w:hint="eastAsia"/>
          <w:sz w:val="32"/>
          <w:szCs w:val="32"/>
        </w:rPr>
        <w:t>参评材料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数，</w:t>
      </w:r>
      <w:r w:rsidRPr="005F2128">
        <w:rPr>
          <w:rFonts w:ascii="仿宋_GB2312" w:eastAsia="仿宋_GB2312" w:hAnsi="仿宋" w:hint="eastAsia"/>
          <w:sz w:val="32"/>
          <w:szCs w:val="32"/>
        </w:rPr>
        <w:t>原则上不超过所辖县（市、区）总数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。</w:t>
      </w:r>
      <w:r w:rsidRPr="005F2128">
        <w:rPr>
          <w:rFonts w:ascii="仿宋_GB2312" w:eastAsia="仿宋_GB2312" w:hAnsi="仿宋" w:hint="eastAsia"/>
          <w:sz w:val="32"/>
          <w:szCs w:val="32"/>
        </w:rPr>
        <w:t>高校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报送</w:t>
      </w:r>
      <w:r w:rsidRPr="005F2128">
        <w:rPr>
          <w:rFonts w:ascii="仿宋_GB2312" w:eastAsia="仿宋_GB2312" w:hAnsi="仿宋" w:hint="eastAsia"/>
          <w:sz w:val="32"/>
          <w:szCs w:val="32"/>
        </w:rPr>
        <w:t>参评材料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每校</w:t>
      </w:r>
      <w:r w:rsidRPr="005F2128">
        <w:rPr>
          <w:rFonts w:ascii="仿宋_GB2312" w:eastAsia="仿宋_GB2312" w:hAnsi="仿宋" w:hint="eastAsia"/>
          <w:sz w:val="32"/>
          <w:szCs w:val="32"/>
        </w:rPr>
        <w:t>不超过2篇。</w:t>
      </w:r>
    </w:p>
    <w:p w:rsidR="00F27C51" w:rsidRPr="005F2128" w:rsidRDefault="00DD41A9">
      <w:pPr>
        <w:autoSpaceDE w:val="0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3.</w:t>
      </w:r>
      <w:r w:rsidR="00A11307" w:rsidRPr="005F2128">
        <w:rPr>
          <w:rFonts w:ascii="仿宋_GB2312" w:eastAsia="仿宋_GB2312" w:hAnsi="仿宋" w:hint="eastAsia"/>
          <w:sz w:val="32"/>
          <w:szCs w:val="32"/>
        </w:rPr>
        <w:t>纸质材料由设区市、高校关工委集中打包邮寄，同时附全市、全校</w:t>
      </w:r>
      <w:r w:rsidRPr="005F2128">
        <w:rPr>
          <w:rFonts w:ascii="仿宋_GB2312" w:eastAsia="仿宋_GB2312" w:hAnsi="仿宋" w:hint="eastAsia"/>
          <w:sz w:val="32"/>
          <w:szCs w:val="32"/>
        </w:rPr>
        <w:t>报送材料目录清单（表式见附件）。纸质材料寄:南京市鼓楼区北京西路15号教育大厦504室 省教育系统关工委秘书处崔定友收，联系电话025--83335584。</w:t>
      </w:r>
    </w:p>
    <w:p w:rsidR="00F27C51" w:rsidRPr="005F2128" w:rsidRDefault="00A11307">
      <w:pPr>
        <w:autoSpaceDE w:val="0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各地各校请在邮寄纸质材料同时发送电子稿。设区市、高校关工委</w:t>
      </w:r>
      <w:r w:rsidR="00DD41A9" w:rsidRPr="005F2128">
        <w:rPr>
          <w:rFonts w:ascii="仿宋_GB2312" w:eastAsia="仿宋_GB2312" w:hAnsi="仿宋" w:hint="eastAsia"/>
          <w:sz w:val="32"/>
          <w:szCs w:val="32"/>
        </w:rPr>
        <w:t>集中打包</w:t>
      </w:r>
      <w:r w:rsidRPr="005F2128">
        <w:rPr>
          <w:rFonts w:ascii="仿宋_GB2312" w:eastAsia="仿宋_GB2312" w:hAnsi="仿宋" w:hint="eastAsia"/>
          <w:sz w:val="32"/>
          <w:szCs w:val="32"/>
        </w:rPr>
        <w:t>，将</w:t>
      </w:r>
      <w:r w:rsidR="00DD41A9" w:rsidRPr="005F2128">
        <w:rPr>
          <w:rFonts w:ascii="仿宋_GB2312" w:eastAsia="仿宋_GB2312" w:hAnsi="仿宋" w:hint="eastAsia"/>
          <w:sz w:val="32"/>
          <w:szCs w:val="32"/>
        </w:rPr>
        <w:t>上述材料后形成一个压缩文件，命名为：***</w:t>
      </w:r>
      <w:r w:rsidRPr="005F2128">
        <w:rPr>
          <w:rFonts w:ascii="仿宋_GB2312" w:eastAsia="仿宋_GB2312" w:hAnsi="仿宋" w:hint="eastAsia"/>
          <w:sz w:val="32"/>
          <w:szCs w:val="32"/>
        </w:rPr>
        <w:t>教育关工委（高校关工委）报送参评材料。电子材料</w:t>
      </w:r>
      <w:r w:rsidR="00DD41A9" w:rsidRPr="005F2128">
        <w:rPr>
          <w:rFonts w:ascii="仿宋_GB2312" w:eastAsia="仿宋_GB2312" w:hAnsi="仿宋" w:hint="eastAsia"/>
          <w:sz w:val="32"/>
          <w:szCs w:val="32"/>
        </w:rPr>
        <w:t>发送邮箱</w:t>
      </w:r>
      <w:r w:rsidRPr="005F2128">
        <w:rPr>
          <w:rFonts w:ascii="仿宋_GB2312" w:eastAsia="仿宋_GB2312" w:hAnsi="仿宋" w:hint="eastAsia"/>
          <w:sz w:val="32"/>
          <w:szCs w:val="32"/>
        </w:rPr>
        <w:t>为</w:t>
      </w:r>
      <w:r w:rsidR="00DD41A9" w:rsidRPr="005F2128">
        <w:rPr>
          <w:rFonts w:ascii="仿宋_GB2312" w:eastAsia="仿宋_GB2312" w:hAnsi="仿宋" w:hint="eastAsia"/>
          <w:sz w:val="32"/>
          <w:szCs w:val="32"/>
        </w:rPr>
        <w:t>：zhangzhm@ec.js.edu.cn。</w:t>
      </w:r>
    </w:p>
    <w:p w:rsidR="00F27C51" w:rsidRDefault="00DD41A9">
      <w:pPr>
        <w:autoSpaceDE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>4.我委接收各设区市和高校报送纸质材料和电子材料的截止时间均为8月31日。</w:t>
      </w:r>
    </w:p>
    <w:p w:rsidR="00F27C51" w:rsidRDefault="00DD41A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F27C51" w:rsidRDefault="00F27C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7C51" w:rsidRDefault="00F27C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7C51" w:rsidRDefault="00F27C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7C51" w:rsidRPr="005F2128" w:rsidRDefault="00DD41A9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5F2128">
        <w:rPr>
          <w:rFonts w:ascii="仿宋_GB2312" w:eastAsia="仿宋_GB2312" w:hAnsi="仿宋" w:hint="eastAsia"/>
          <w:sz w:val="32"/>
          <w:szCs w:val="32"/>
        </w:rPr>
        <w:t>江苏省教育系统关工委</w:t>
      </w:r>
    </w:p>
    <w:p w:rsidR="00F27C51" w:rsidRDefault="00DD41A9">
      <w:pPr>
        <w:spacing w:line="560" w:lineRule="exact"/>
        <w:rPr>
          <w:rFonts w:ascii="仿宋" w:eastAsia="仿宋" w:hAnsi="仿宋"/>
          <w:sz w:val="32"/>
          <w:szCs w:val="32"/>
        </w:rPr>
      </w:pPr>
      <w:r w:rsidRPr="005F2128"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5F2128">
        <w:rPr>
          <w:rFonts w:ascii="仿宋_GB2312" w:eastAsia="仿宋_GB2312" w:hAnsi="仿宋"/>
          <w:sz w:val="32"/>
          <w:szCs w:val="32"/>
        </w:rPr>
        <w:t xml:space="preserve"> </w:t>
      </w:r>
      <w:r w:rsidRPr="005F2128">
        <w:rPr>
          <w:rFonts w:ascii="仿宋_GB2312" w:eastAsia="仿宋_GB2312" w:hAnsi="仿宋" w:hint="eastAsia"/>
          <w:sz w:val="32"/>
          <w:szCs w:val="32"/>
        </w:rPr>
        <w:t>2023年2月</w:t>
      </w:r>
      <w:r w:rsidR="005F2128">
        <w:rPr>
          <w:rFonts w:ascii="仿宋_GB2312" w:eastAsia="仿宋_GB2312" w:hAnsi="仿宋"/>
          <w:sz w:val="32"/>
          <w:szCs w:val="32"/>
        </w:rPr>
        <w:t>9</w:t>
      </w:r>
      <w:r w:rsidRPr="005F2128">
        <w:rPr>
          <w:rFonts w:ascii="仿宋_GB2312" w:eastAsia="仿宋_GB2312" w:hAnsi="仿宋" w:hint="eastAsia"/>
          <w:sz w:val="32"/>
          <w:szCs w:val="32"/>
        </w:rPr>
        <w:t>日</w:t>
      </w:r>
    </w:p>
    <w:p w:rsidR="00F27C51" w:rsidRDefault="00DD41A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F27C51" w:rsidRDefault="00F27C51">
      <w:pPr>
        <w:spacing w:line="560" w:lineRule="exact"/>
        <w:jc w:val="center"/>
        <w:rPr>
          <w:rFonts w:ascii="宋体" w:hAnsi="宋体" w:cs="宋体"/>
          <w:sz w:val="36"/>
          <w:szCs w:val="36"/>
        </w:rPr>
      </w:pPr>
    </w:p>
    <w:p w:rsidR="00F27C51" w:rsidRPr="005F2128" w:rsidRDefault="00DD41A9">
      <w:pPr>
        <w:spacing w:line="560" w:lineRule="exact"/>
        <w:jc w:val="center"/>
        <w:rPr>
          <w:rFonts w:ascii="方正小标宋简体" w:eastAsia="方正小标宋简体" w:hAnsi="华文中宋" w:cs="宋体" w:hint="eastAsia"/>
          <w:bCs/>
          <w:sz w:val="44"/>
          <w:szCs w:val="44"/>
        </w:rPr>
      </w:pPr>
      <w:r w:rsidRPr="005F2128">
        <w:rPr>
          <w:rFonts w:ascii="方正小标宋简体" w:eastAsia="方正小标宋简体" w:hAnsi="华文中宋" w:cs="宋体" w:hint="eastAsia"/>
          <w:bCs/>
          <w:sz w:val="44"/>
          <w:szCs w:val="44"/>
        </w:rPr>
        <w:t>关工委优质化建设均衡发展优秀工作论文</w:t>
      </w:r>
    </w:p>
    <w:p w:rsidR="00F27C51" w:rsidRPr="00A11307" w:rsidRDefault="00DD41A9">
      <w:pPr>
        <w:spacing w:line="56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5F2128">
        <w:rPr>
          <w:rFonts w:ascii="方正小标宋简体" w:eastAsia="方正小标宋简体" w:hAnsi="华文中宋" w:cs="宋体" w:hint="eastAsia"/>
          <w:bCs/>
          <w:sz w:val="44"/>
          <w:szCs w:val="44"/>
        </w:rPr>
        <w:t>和调研报告（2023）参评材料目录清单</w:t>
      </w:r>
    </w:p>
    <w:p w:rsidR="00FB15B5" w:rsidRDefault="00FB15B5" w:rsidP="00FB15B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FB15B5" w:rsidRDefault="00DD41A9" w:rsidP="00FB15B5">
      <w:pPr>
        <w:spacing w:line="56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报送单位</w:t>
      </w:r>
      <w:r w:rsidR="00FB15B5">
        <w:rPr>
          <w:rFonts w:ascii="楷体" w:eastAsia="楷体" w:hAnsi="楷体" w:cs="楷体" w:hint="eastAsia"/>
          <w:sz w:val="30"/>
          <w:szCs w:val="30"/>
        </w:rPr>
        <w:t>：</w:t>
      </w:r>
    </w:p>
    <w:p w:rsidR="00F27C51" w:rsidRPr="00FB15B5" w:rsidRDefault="00FB15B5" w:rsidP="00FB15B5">
      <w:pPr>
        <w:spacing w:line="56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联系人：              联系人手机：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2522"/>
        <w:gridCol w:w="2058"/>
        <w:gridCol w:w="1351"/>
        <w:gridCol w:w="1705"/>
      </w:tblGrid>
      <w:tr w:rsidR="00F27C51">
        <w:tc>
          <w:tcPr>
            <w:tcW w:w="886" w:type="dxa"/>
            <w:vAlign w:val="center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22" w:type="dxa"/>
            <w:vAlign w:val="center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参评材料题目</w:t>
            </w:r>
          </w:p>
        </w:tc>
        <w:tc>
          <w:tcPr>
            <w:tcW w:w="2058" w:type="dxa"/>
            <w:vAlign w:val="center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作者单位</w:t>
            </w:r>
          </w:p>
        </w:tc>
        <w:tc>
          <w:tcPr>
            <w:tcW w:w="1351" w:type="dxa"/>
            <w:vAlign w:val="center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705" w:type="dxa"/>
            <w:vAlign w:val="center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F27C51">
        <w:tc>
          <w:tcPr>
            <w:tcW w:w="886" w:type="dxa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DD41A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C51">
        <w:tc>
          <w:tcPr>
            <w:tcW w:w="886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2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8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1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7C51" w:rsidRDefault="00F27C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27C51" w:rsidRPr="00FB15B5" w:rsidRDefault="00FB15B5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FB15B5">
        <w:rPr>
          <w:rFonts w:ascii="楷体" w:eastAsia="楷体" w:hAnsi="楷体" w:cs="楷体" w:hint="eastAsia"/>
          <w:b/>
          <w:sz w:val="30"/>
          <w:szCs w:val="30"/>
        </w:rPr>
        <w:t>（以设区市或高校为单位填报）</w:t>
      </w:r>
    </w:p>
    <w:p w:rsidR="00FB15B5" w:rsidRDefault="00FB15B5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F27C51" w:rsidRDefault="00DD41A9" w:rsidP="00FB15B5">
      <w:pPr>
        <w:spacing w:line="560" w:lineRule="exact"/>
        <w:ind w:right="128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报送单位盖章：      </w:t>
      </w:r>
    </w:p>
    <w:p w:rsidR="00F27C51" w:rsidRDefault="00DD41A9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</w:p>
    <w:p w:rsidR="00F27C51" w:rsidRDefault="00F27C5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4"/>
      </w:tblGrid>
      <w:tr w:rsidR="00F27C51" w:rsidTr="005F2128"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:rsidR="00F27C51" w:rsidRPr="005F2128" w:rsidRDefault="00DD41A9" w:rsidP="005F2128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F2128">
              <w:rPr>
                <w:rFonts w:ascii="仿宋_GB2312" w:eastAsia="仿宋_GB2312" w:hAnsi="仿宋" w:hint="eastAsia"/>
                <w:sz w:val="28"/>
                <w:szCs w:val="28"/>
              </w:rPr>
              <w:t xml:space="preserve">  抄送：省关工委，教育部关工委</w:t>
            </w:r>
          </w:p>
        </w:tc>
      </w:tr>
      <w:tr w:rsidR="00F27C51" w:rsidTr="005F2128"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:rsidR="00F27C51" w:rsidRPr="005F2128" w:rsidRDefault="00DD41A9" w:rsidP="005F2128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F2128">
              <w:rPr>
                <w:rFonts w:ascii="仿宋_GB2312" w:eastAsia="仿宋_GB2312" w:hAnsi="仿宋" w:hint="eastAsia"/>
                <w:sz w:val="28"/>
                <w:szCs w:val="28"/>
              </w:rPr>
              <w:t xml:space="preserve">  江苏省教育系统关工委            </w:t>
            </w:r>
            <w:r w:rsidR="005F2128">
              <w:rPr>
                <w:rFonts w:ascii="仿宋_GB2312" w:eastAsia="仿宋_GB2312" w:hAnsi="仿宋"/>
                <w:sz w:val="28"/>
                <w:szCs w:val="28"/>
              </w:rPr>
              <w:t xml:space="preserve">         </w:t>
            </w:r>
            <w:r w:rsidRPr="005F2128">
              <w:rPr>
                <w:rFonts w:ascii="仿宋_GB2312" w:eastAsia="仿宋_GB2312" w:hAnsi="仿宋" w:hint="eastAsia"/>
                <w:sz w:val="28"/>
                <w:szCs w:val="28"/>
              </w:rPr>
              <w:t>2023年2月</w:t>
            </w:r>
            <w:r w:rsidR="005F2128">
              <w:rPr>
                <w:rFonts w:ascii="仿宋_GB2312" w:eastAsia="仿宋_GB2312" w:hAnsi="仿宋"/>
                <w:sz w:val="28"/>
                <w:szCs w:val="28"/>
              </w:rPr>
              <w:t>9</w:t>
            </w:r>
            <w:r w:rsidRPr="005F2128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F27C51" w:rsidRDefault="00F27C51">
      <w:pPr>
        <w:spacing w:line="240" w:lineRule="atLeast"/>
        <w:jc w:val="left"/>
        <w:rPr>
          <w:rFonts w:ascii="仿宋_GB2312" w:eastAsia="仿宋_GB2312" w:hAnsi="仿宋"/>
          <w:sz w:val="10"/>
          <w:szCs w:val="10"/>
        </w:rPr>
      </w:pPr>
    </w:p>
    <w:sectPr w:rsidR="00F27C51" w:rsidSect="00F27C51">
      <w:footerReference w:type="even" r:id="rId8"/>
      <w:footerReference w:type="default" r:id="rId9"/>
      <w:pgSz w:w="11906" w:h="16838" w:code="9"/>
      <w:pgMar w:top="2098" w:right="1474" w:bottom="1985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1A9" w:rsidRDefault="00DD41A9" w:rsidP="00F27C51">
      <w:r>
        <w:separator/>
      </w:r>
    </w:p>
  </w:endnote>
  <w:endnote w:type="continuationSeparator" w:id="0">
    <w:p w:rsidR="00DD41A9" w:rsidRDefault="00DD41A9" w:rsidP="00F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C51" w:rsidRDefault="00DD41A9">
    <w:pPr>
      <w:pStyle w:val="a4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—</w:t>
    </w:r>
    <w:r w:rsidR="00F27C51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F27C51">
      <w:rPr>
        <w:rFonts w:ascii="宋体" w:hAnsi="宋体"/>
        <w:sz w:val="24"/>
        <w:szCs w:val="24"/>
      </w:rPr>
      <w:fldChar w:fldCharType="separate"/>
    </w:r>
    <w:r w:rsidR="00FB15B5" w:rsidRPr="00FB15B5">
      <w:rPr>
        <w:rFonts w:ascii="宋体" w:hAnsi="宋体"/>
        <w:noProof/>
        <w:sz w:val="24"/>
        <w:szCs w:val="24"/>
        <w:lang w:val="zh-CN"/>
      </w:rPr>
      <w:t>4</w:t>
    </w:r>
    <w:r w:rsidR="00F27C51"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>—</w:t>
    </w:r>
  </w:p>
  <w:p w:rsidR="00F27C51" w:rsidRDefault="00F27C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C51" w:rsidRDefault="00DD41A9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—</w:t>
    </w:r>
    <w:r w:rsidR="00F27C51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F27C51">
      <w:rPr>
        <w:rFonts w:ascii="宋体" w:hAnsi="宋体"/>
        <w:sz w:val="24"/>
        <w:szCs w:val="24"/>
      </w:rPr>
      <w:fldChar w:fldCharType="separate"/>
    </w:r>
    <w:r w:rsidR="00FB15B5" w:rsidRPr="00FB15B5">
      <w:rPr>
        <w:rFonts w:ascii="宋体" w:hAnsi="宋体"/>
        <w:noProof/>
        <w:sz w:val="24"/>
        <w:szCs w:val="24"/>
        <w:lang w:val="zh-CN"/>
      </w:rPr>
      <w:t>3</w:t>
    </w:r>
    <w:r w:rsidR="00F27C51"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>—</w:t>
    </w:r>
  </w:p>
  <w:p w:rsidR="00F27C51" w:rsidRDefault="00F27C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1A9" w:rsidRDefault="00DD41A9" w:rsidP="00F27C51">
      <w:r>
        <w:separator/>
      </w:r>
    </w:p>
  </w:footnote>
  <w:footnote w:type="continuationSeparator" w:id="0">
    <w:p w:rsidR="00DD41A9" w:rsidRDefault="00DD41A9" w:rsidP="00F2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28"/>
    <w:multiLevelType w:val="singleLevel"/>
    <w:tmpl w:val="19896E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B0B66C7"/>
    <w:multiLevelType w:val="hybridMultilevel"/>
    <w:tmpl w:val="38C8AFAC"/>
    <w:lvl w:ilvl="0" w:tplc="9BA2043E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548B1975"/>
    <w:multiLevelType w:val="hybridMultilevel"/>
    <w:tmpl w:val="E6944EAE"/>
    <w:lvl w:ilvl="0" w:tplc="6A48D95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8793209">
    <w:abstractNumId w:val="0"/>
  </w:num>
  <w:num w:numId="2" w16cid:durableId="1474564787">
    <w:abstractNumId w:val="1"/>
  </w:num>
  <w:num w:numId="3" w16cid:durableId="173408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51"/>
    <w:rsid w:val="00200A77"/>
    <w:rsid w:val="00304028"/>
    <w:rsid w:val="005F2128"/>
    <w:rsid w:val="00656BDD"/>
    <w:rsid w:val="0097446E"/>
    <w:rsid w:val="00A11307"/>
    <w:rsid w:val="00C137C8"/>
    <w:rsid w:val="00DD41A9"/>
    <w:rsid w:val="00F27C51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  <w14:docId w14:val="6B338D78"/>
  <w15:docId w15:val="{AD19149A-555A-4A77-965C-43AA915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7C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27C5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qFormat/>
    <w:rsid w:val="00F27C5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27C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rsid w:val="00F27C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F27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uiPriority w:val="99"/>
    <w:rsid w:val="00F27C51"/>
    <w:rPr>
      <w:rFonts w:ascii="Calibri" w:hAnsi="Calibri"/>
      <w:kern w:val="2"/>
      <w:sz w:val="18"/>
      <w:szCs w:val="22"/>
    </w:rPr>
  </w:style>
  <w:style w:type="paragraph" w:styleId="a8">
    <w:name w:val="Balloon Text"/>
    <w:basedOn w:val="a"/>
    <w:link w:val="a9"/>
    <w:uiPriority w:val="99"/>
    <w:rsid w:val="00F27C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F27C51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56B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E8AB-1F8F-433E-9540-85FA261A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1232</Characters>
  <Application>Microsoft Office Word</Application>
  <DocSecurity>0</DocSecurity>
  <Lines>10</Lines>
  <Paragraphs>2</Paragraphs>
  <ScaleCrop>false</ScaleCrop>
  <Company>Lenovo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duxg@ec.js.edu.cn</cp:lastModifiedBy>
  <cp:revision>2</cp:revision>
  <cp:lastPrinted>2023-02-11T13:23:00Z</cp:lastPrinted>
  <dcterms:created xsi:type="dcterms:W3CDTF">2023-02-11T13:29:00Z</dcterms:created>
  <dcterms:modified xsi:type="dcterms:W3CDTF">2023-02-11T13:29:00Z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1ce3517dc75a43ec8368d3b273f0a867</vt:lpwstr>
  </property>
</Properties>
</file>